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1" w:rsidRPr="00A35B91" w:rsidRDefault="00A35B91" w:rsidP="00A35B91">
      <w:pPr>
        <w:spacing w:before="100" w:beforeAutospacing="1" w:after="100" w:afterAutospacing="1"/>
        <w:jc w:val="left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val="ru-RU" w:eastAsia="ru-RU"/>
        </w:rPr>
      </w:pPr>
      <w:proofErr w:type="spellStart"/>
      <w:r w:rsidRPr="00A35B91">
        <w:rPr>
          <w:rFonts w:ascii="Arial" w:eastAsia="Times New Roman" w:hAnsi="Arial" w:cs="Arial"/>
          <w:b/>
          <w:bCs/>
          <w:kern w:val="36"/>
          <w:sz w:val="18"/>
          <w:szCs w:val="18"/>
          <w:lang w:val="ru-RU" w:eastAsia="ru-RU"/>
        </w:rPr>
        <w:t>Korteriühistu</w:t>
      </w:r>
      <w:proofErr w:type="spellEnd"/>
      <w:r w:rsidRPr="00A35B91">
        <w:rPr>
          <w:rFonts w:ascii="Arial" w:eastAsia="Times New Roman" w:hAnsi="Arial" w:cs="Arial"/>
          <w:b/>
          <w:bCs/>
          <w:kern w:val="36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kern w:val="36"/>
          <w:sz w:val="18"/>
          <w:szCs w:val="18"/>
          <w:lang w:val="ru-RU" w:eastAsia="ru-RU"/>
        </w:rPr>
        <w:t>kassapõhine</w:t>
      </w:r>
      <w:proofErr w:type="spellEnd"/>
      <w:r w:rsidRPr="00A35B91">
        <w:rPr>
          <w:rFonts w:ascii="Arial" w:eastAsia="Times New Roman" w:hAnsi="Arial" w:cs="Arial"/>
          <w:b/>
          <w:bCs/>
          <w:kern w:val="36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kern w:val="36"/>
          <w:sz w:val="18"/>
          <w:szCs w:val="18"/>
          <w:lang w:val="ru-RU" w:eastAsia="ru-RU"/>
        </w:rPr>
        <w:t>raamatupidamine</w:t>
      </w:r>
      <w:proofErr w:type="spellEnd"/>
    </w:p>
    <w:p w:rsidR="00A35B91" w:rsidRPr="00A35B91" w:rsidRDefault="00A35B91" w:rsidP="00A35B91">
      <w:pPr>
        <w:jc w:val="left"/>
        <w:rPr>
          <w:rFonts w:ascii="Arial" w:eastAsia="Times New Roman" w:hAnsi="Arial" w:cs="Arial"/>
          <w:sz w:val="18"/>
          <w:szCs w:val="18"/>
          <w:lang w:val="ru-RU" w:eastAsia="ru-RU"/>
        </w:rPr>
      </w:pPr>
      <w:bookmarkStart w:id="0" w:name="_GoBack"/>
      <w:bookmarkEnd w:id="0"/>
    </w:p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Käesoleva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aasta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(2018. a)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alguses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jõustunud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hyperlink r:id="rId5" w:tgtFrame="_blank" w:history="1">
        <w:proofErr w:type="spellStart"/>
        <w:r w:rsidRPr="00A35B91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val="ru-RU" w:eastAsia="ru-RU"/>
          </w:rPr>
          <w:t>korteriomandi</w:t>
        </w:r>
        <w:proofErr w:type="spellEnd"/>
        <w:r w:rsidRPr="00A35B91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val="ru-RU" w:eastAsia="ru-RU"/>
          </w:rPr>
          <w:t xml:space="preserve">- </w:t>
        </w:r>
        <w:proofErr w:type="spellStart"/>
        <w:r w:rsidRPr="00A35B91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val="ru-RU" w:eastAsia="ru-RU"/>
          </w:rPr>
          <w:t>ja</w:t>
        </w:r>
        <w:proofErr w:type="spellEnd"/>
        <w:r w:rsidRPr="00A35B91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val="ru-RU" w:eastAsia="ru-RU"/>
          </w:rPr>
          <w:t xml:space="preserve"> </w:t>
        </w:r>
        <w:proofErr w:type="spellStart"/>
        <w:r w:rsidRPr="00A35B91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val="ru-RU" w:eastAsia="ru-RU"/>
          </w:rPr>
          <w:t>korteriühistuseaduse</w:t>
        </w:r>
        <w:proofErr w:type="spellEnd"/>
      </w:hyperlink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järgi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on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kuni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kümne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korteriomandiga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korteriühistutel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mida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korteriomanikud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juhivad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ja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esindavad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ühiselt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lubatud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pidada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kassapõhist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raamatupidamist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Samuti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ei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ole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sellistel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korteriühistutel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kohustust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esitada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majandusaasta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aruannet</w:t>
      </w:r>
      <w:proofErr w:type="spellEnd"/>
      <w:r w:rsidRPr="00A35B91">
        <w:rPr>
          <w:rFonts w:ascii="Arial" w:eastAsia="Times New Roman" w:hAnsi="Arial" w:cs="Arial"/>
          <w:b/>
          <w:bCs/>
          <w:sz w:val="18"/>
          <w:szCs w:val="18"/>
          <w:lang w:val="ru-RU" w:eastAsia="ru-RU"/>
        </w:rPr>
        <w:t>.</w:t>
      </w:r>
    </w:p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Seaduse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seletuskirjas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põhjendatakse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et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nimetatud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erand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on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tehtud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eesmärgiga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vältida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olukorda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kus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korteriomanditeks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jagatud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paaris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-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või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ridamajades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milles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nüüdsest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on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korteriühistu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olemasolu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kohustuslik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peavad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pidama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tekkepõhist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raamatupidamist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ja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esitama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majandusaasta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aruannet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.</w:t>
      </w:r>
    </w:p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Nagu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nimigi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ütleb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tähendab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kassapõhine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arvestus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seda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et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majandustehingud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kajastatakse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siis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kui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raha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on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laekunud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või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välja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makstud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Tekkepõhine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seevastu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tähendab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et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majandustehing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kajastatakse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siis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see on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toimunud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.</w:t>
      </w:r>
    </w:p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Näiteks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kajastatakse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kassapõhise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arvestuspõhimõtte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puhul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prügiveoteenus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kuluna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siis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selle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eest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on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makstud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tekkepõhise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puhul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siis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prügi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on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minema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viidud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 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Tekkepõhine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tähendab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kahekordset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kirjendamist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prügi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on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ära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viidud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tuleb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kajastada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kohustis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.</w:t>
      </w:r>
    </w:p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Kassapõhise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suurim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eelis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tekkepõhise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ees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ongi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selle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lihtsus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pole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tarvis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avada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raamatupidamiskontosid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ja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kasutada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kahekordset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kirjendamist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(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deebetit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ja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kreeditit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).</w:t>
      </w:r>
    </w:p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Siiski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tähenda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kassapõhise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lubamine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korteriühistutes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et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raamatupidamisele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pole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üldse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vaja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tähelepanu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pöörata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Korteriomandi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-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ja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korteriühistuseaduse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hyperlink r:id="rId6" w:anchor="para50" w:tgtFrame="_blank" w:history="1">
        <w:r w:rsidRPr="00A35B91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ru-RU"/>
          </w:rPr>
          <w:t>§ 50</w:t>
        </w:r>
      </w:hyperlink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lõike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2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järgi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ning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lähtudes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seaduse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hyperlink r:id="rId7" w:anchor="para43" w:tgtFrame="_blank" w:history="1">
        <w:r w:rsidRPr="00A35B91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ru-RU"/>
          </w:rPr>
          <w:t>§ 43</w:t>
        </w:r>
      </w:hyperlink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lõikest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2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peavad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kuni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kümne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korteriga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korteriühistud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täitma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mitmeid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seaduse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sätteid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muu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hulgas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:</w:t>
      </w:r>
    </w:p>
    <w:p w:rsidR="00A35B91" w:rsidRPr="00A35B91" w:rsidRDefault="00A35B91" w:rsidP="00A35B9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peavad</w:t>
      </w:r>
      <w:proofErr w:type="spellEnd"/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majandustehingute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kohta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olema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olemas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dokumendid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ja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neid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tuleb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säilitada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vähemalt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seitse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aastat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Dokumendid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võivad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olla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ka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elektroonilised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.</w:t>
      </w:r>
    </w:p>
    <w:p w:rsidR="00A35B91" w:rsidRPr="00A35B91" w:rsidRDefault="00A35B91" w:rsidP="00A35B9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proofErr w:type="spellStart"/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peavad</w:t>
      </w:r>
      <w:proofErr w:type="spellEnd"/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kõik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majandustehingud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olema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kantud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raamatupidamisregistritesse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.</w:t>
      </w:r>
    </w:p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Kassapõhise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puhul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sobib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raamatupidamisregistriks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lihtne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tabel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Eriti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mugav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on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vormistada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see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Excelis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Tabelisse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tuleb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kanda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kõik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raha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sissetulekud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ja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väljaminekud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Tehingutest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parema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ülevaate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saamiseks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võib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sissetulekuid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ja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väljaminekuid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täiendavalt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liigendada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Näide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ühest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võimalikust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tabeli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vormist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on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esitatud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allpool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A35B91" w:rsidRPr="00A35B91" w:rsidTr="00A35B91">
        <w:trPr>
          <w:trHeight w:val="780"/>
        </w:trPr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Kuupäev</w:t>
            </w:r>
            <w:proofErr w:type="spellEnd"/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Tehingu</w:t>
            </w:r>
            <w:proofErr w:type="spellEnd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sisu</w:t>
            </w:r>
            <w:proofErr w:type="spellEnd"/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Sisse-tulek</w:t>
            </w:r>
            <w:proofErr w:type="spellEnd"/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Väljaminek</w:t>
            </w:r>
            <w:proofErr w:type="spellEnd"/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Jääk</w:t>
            </w:r>
            <w:proofErr w:type="spellEnd"/>
          </w:p>
        </w:tc>
      </w:tr>
      <w:tr w:rsidR="00A35B91" w:rsidRPr="00A35B91" w:rsidTr="00A35B91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Vesi</w:t>
            </w:r>
            <w:proofErr w:type="spell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Prügi</w:t>
            </w:r>
            <w:proofErr w:type="spell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Kokku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</w:tr>
      <w:tr w:rsidR="00A35B91" w:rsidRPr="00A35B91" w:rsidTr="00A35B91">
        <w:trPr>
          <w:trHeight w:val="390"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01.01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Laekumine</w:t>
            </w:r>
            <w:proofErr w:type="spellEnd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krt</w:t>
            </w:r>
            <w:proofErr w:type="spellEnd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 xml:space="preserve"> 1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</w:t>
            </w:r>
          </w:p>
        </w:tc>
      </w:tr>
      <w:tr w:rsidR="00A35B91" w:rsidRPr="00A35B91" w:rsidTr="00A35B91">
        <w:trPr>
          <w:trHeight w:val="390"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10.01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Tasumine</w:t>
            </w:r>
            <w:proofErr w:type="spellEnd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veefirmale</w:t>
            </w:r>
            <w:proofErr w:type="spell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</w:t>
            </w:r>
          </w:p>
        </w:tc>
      </w:tr>
      <w:tr w:rsidR="00A35B91" w:rsidRPr="00A35B91" w:rsidTr="00A35B91">
        <w:trPr>
          <w:trHeight w:val="345"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12.01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Laekumine</w:t>
            </w:r>
            <w:proofErr w:type="spellEnd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krt</w:t>
            </w:r>
            <w:proofErr w:type="spellEnd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 xml:space="preserve"> 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60</w:t>
            </w:r>
          </w:p>
        </w:tc>
      </w:tr>
      <w:tr w:rsidR="00A35B91" w:rsidRPr="00A35B91" w:rsidTr="00A35B91">
        <w:trPr>
          <w:trHeight w:val="390"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12.01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Tasumine</w:t>
            </w:r>
            <w:proofErr w:type="spellEnd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prügifirmale</w:t>
            </w:r>
            <w:proofErr w:type="spell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45</w:t>
            </w:r>
          </w:p>
        </w:tc>
      </w:tr>
      <w:tr w:rsidR="00A35B91" w:rsidRPr="00A35B91" w:rsidTr="00A35B91">
        <w:trPr>
          <w:trHeight w:val="390"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A35B91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B91" w:rsidRPr="00A35B91" w:rsidRDefault="00A35B91" w:rsidP="00A35B9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</w:tr>
    </w:tbl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Nagu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näha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on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kassapõhine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tõepoolest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lihtne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Siiski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on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kassapõhisel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arvestusel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oma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puudused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Kassapõhine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anna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ülevaadet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ja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palju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korteriomanikud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ühistule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võlgnevad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ning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palju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on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ühistul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kohustusi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teenuseosutaja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ees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Arvestus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selle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kohta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tuleb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sisse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seada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eraldi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ja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see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tähendab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ikkagi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täiendavat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tööd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.</w:t>
      </w:r>
    </w:p>
    <w:p w:rsidR="00A35B91" w:rsidRPr="00A35B91" w:rsidRDefault="00A35B91" w:rsidP="00A35B91">
      <w:pPr>
        <w:spacing w:before="100" w:beforeAutospacing="1" w:after="100" w:afterAutospacing="1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lastRenderedPageBreak/>
        <w:t>Kokkuvõtteks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tuleb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tõdeda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et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kassapõhine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võib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sobida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paarismajale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või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ridaelamule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koos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tehakse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vaid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üksikuid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kulutusi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need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kuni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kümne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korteriga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ühistud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mis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ole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paarismajad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või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ridaelamud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gram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ja</w:t>
      </w:r>
      <w:proofErr w:type="gram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kus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suurema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osa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teenuste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eest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arveldatakse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korteriühistu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kaudu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peaksid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kasutama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tekkepõhist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proofErr w:type="spellStart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raamatupidamist</w:t>
      </w:r>
      <w:proofErr w:type="spellEnd"/>
      <w:r w:rsidRPr="00A35B91">
        <w:rPr>
          <w:rFonts w:ascii="Arial" w:eastAsia="Times New Roman" w:hAnsi="Arial" w:cs="Arial"/>
          <w:sz w:val="18"/>
          <w:szCs w:val="18"/>
          <w:lang w:val="en-US" w:eastAsia="ru-RU"/>
        </w:rPr>
        <w:t>.</w:t>
      </w:r>
    </w:p>
    <w:p w:rsidR="00A35B91" w:rsidRPr="00A35B91" w:rsidRDefault="00A35B91" w:rsidP="00A35B91">
      <w:pPr>
        <w:jc w:val="left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A35B91">
        <w:rPr>
          <w:rFonts w:ascii="Arial" w:eastAsia="Times New Roman" w:hAnsi="Arial" w:cs="Arial"/>
          <w:sz w:val="18"/>
          <w:szCs w:val="18"/>
          <w:lang w:val="ru-RU" w:eastAsia="ru-RU"/>
        </w:rPr>
        <w:t>Autor</w:t>
      </w:r>
      <w:proofErr w:type="spellEnd"/>
    </w:p>
    <w:p w:rsidR="00A35B91" w:rsidRPr="00A35B91" w:rsidRDefault="00677F7B" w:rsidP="00A35B91">
      <w:pPr>
        <w:jc w:val="left"/>
        <w:rPr>
          <w:rFonts w:ascii="Arial" w:eastAsia="Times New Roman" w:hAnsi="Arial" w:cs="Arial"/>
          <w:sz w:val="18"/>
          <w:szCs w:val="18"/>
          <w:lang w:val="ru-RU" w:eastAsia="ru-RU"/>
        </w:rPr>
      </w:pPr>
      <w:hyperlink r:id="rId8" w:history="1">
        <w:proofErr w:type="spellStart"/>
        <w:r w:rsidR="00A35B91" w:rsidRPr="00A35B91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ru-RU" w:eastAsia="ru-RU"/>
          </w:rPr>
          <w:t>Maire</w:t>
        </w:r>
        <w:proofErr w:type="spellEnd"/>
        <w:r w:rsidR="00A35B91" w:rsidRPr="00A35B91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ru-RU" w:eastAsia="ru-RU"/>
          </w:rPr>
          <w:t xml:space="preserve"> </w:t>
        </w:r>
        <w:proofErr w:type="spellStart"/>
        <w:r w:rsidR="00A35B91" w:rsidRPr="00A35B91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ru-RU" w:eastAsia="ru-RU"/>
          </w:rPr>
          <w:t>Otsus-Carpenter</w:t>
        </w:r>
        <w:proofErr w:type="spellEnd"/>
      </w:hyperlink>
    </w:p>
    <w:p w:rsidR="00F07C7E" w:rsidRPr="00A35B91" w:rsidRDefault="00F07C7E">
      <w:pPr>
        <w:rPr>
          <w:rFonts w:ascii="Arial" w:hAnsi="Arial" w:cs="Arial"/>
          <w:sz w:val="18"/>
          <w:szCs w:val="18"/>
        </w:rPr>
      </w:pPr>
    </w:p>
    <w:sectPr w:rsidR="00F07C7E" w:rsidRPr="00A3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A0335"/>
    <w:multiLevelType w:val="multilevel"/>
    <w:tmpl w:val="495E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1"/>
    <w:rsid w:val="00677F7B"/>
    <w:rsid w:val="00A35B91"/>
    <w:rsid w:val="00F0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30894-55F5-4C14-AE27-005EE7A6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p.ee/author/maire-otsus-carpen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09052017030?leiaKeht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09052017015?leiaKehtiv" TargetMode="External"/><Relationship Id="rId5" Type="http://schemas.openxmlformats.org/officeDocument/2006/relationships/hyperlink" Target="https://www.riigiteataja.ee/akt/109052017015?leiaKehti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2019-02-01T10:34:00Z</dcterms:created>
  <dcterms:modified xsi:type="dcterms:W3CDTF">2019-02-01T10:34:00Z</dcterms:modified>
</cp:coreProperties>
</file>